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165" w:rsidRPr="002B4CEC" w:rsidRDefault="00592165" w:rsidP="00592165">
      <w:pPr>
        <w:jc w:val="center"/>
        <w:rPr>
          <w:szCs w:val="21"/>
        </w:rPr>
      </w:pPr>
      <w:bookmarkStart w:id="0" w:name="_GoBack"/>
      <w:bookmarkEnd w:id="0"/>
      <w:r w:rsidRPr="002B4CEC">
        <w:rPr>
          <w:rFonts w:hint="eastAsia"/>
          <w:szCs w:val="21"/>
        </w:rPr>
        <w:t>愛媛県立図書館特別取扱資料取扱要領</w:t>
      </w:r>
    </w:p>
    <w:p w:rsidR="00592165" w:rsidRPr="002B4CEC" w:rsidRDefault="00592165" w:rsidP="00592165">
      <w:pPr>
        <w:jc w:val="center"/>
        <w:rPr>
          <w:szCs w:val="21"/>
        </w:rPr>
      </w:pPr>
    </w:p>
    <w:p w:rsidR="00592165" w:rsidRPr="002B4CEC" w:rsidRDefault="00592165" w:rsidP="00592165">
      <w:r w:rsidRPr="002B4CEC">
        <w:rPr>
          <w:rFonts w:hint="eastAsia"/>
        </w:rPr>
        <w:t>（目的）</w:t>
      </w:r>
    </w:p>
    <w:p w:rsidR="00592165" w:rsidRPr="002B4CEC" w:rsidRDefault="00592165" w:rsidP="00592165">
      <w:pPr>
        <w:ind w:left="210" w:hangingChars="100" w:hanging="210"/>
        <w:rPr>
          <w:rFonts w:ascii="ＭＳ 明朝" w:hAnsi="ＭＳ 明朝"/>
          <w:bCs/>
        </w:rPr>
      </w:pPr>
      <w:r w:rsidRPr="002B4CEC">
        <w:rPr>
          <w:rFonts w:ascii="ＭＳ 明朝" w:hAnsi="ＭＳ 明朝" w:hint="eastAsia"/>
          <w:bCs/>
        </w:rPr>
        <w:t>第１条　この要領は、「愛媛県立図書館管理規則」第10条第５号及び「愛媛県立図書館資料の収集・保存・除籍に関する方針」４(２)オに基づき、愛媛県立図書館が所蔵する資料のうち、資料的価値が高いもの及び破損しやすいもの、退色や劣化の恐れがあるもの、今後入手困難が予想されるもの（以下「特別取扱資料」という。）について、必要な事項を定めることを目的とする。</w:t>
      </w:r>
    </w:p>
    <w:p w:rsidR="00592165" w:rsidRPr="002B4CEC" w:rsidRDefault="00592165" w:rsidP="00592165">
      <w:r w:rsidRPr="002B4CEC">
        <w:rPr>
          <w:rFonts w:hint="eastAsia"/>
        </w:rPr>
        <w:t>（適用）</w:t>
      </w:r>
    </w:p>
    <w:p w:rsidR="00592165" w:rsidRPr="002B4CEC" w:rsidRDefault="00592165" w:rsidP="00592165">
      <w:pPr>
        <w:ind w:left="420" w:hangingChars="200" w:hanging="420"/>
        <w:rPr>
          <w:rFonts w:ascii="ＭＳ 明朝" w:hAnsi="ＭＳ 明朝"/>
          <w:bCs/>
        </w:rPr>
      </w:pPr>
      <w:r w:rsidRPr="002B4CEC">
        <w:rPr>
          <w:rFonts w:ascii="ＭＳ 明朝" w:hAnsi="ＭＳ 明朝" w:hint="eastAsia"/>
          <w:bCs/>
        </w:rPr>
        <w:t>第２条　この要領は、次に掲げる資料に適用する。</w:t>
      </w:r>
    </w:p>
    <w:p w:rsidR="00592165" w:rsidRPr="002B4CEC" w:rsidRDefault="00592165" w:rsidP="00592165">
      <w:pPr>
        <w:ind w:leftChars="100" w:left="630" w:hangingChars="200" w:hanging="420"/>
        <w:rPr>
          <w:rFonts w:ascii="ＭＳ 明朝" w:hAnsi="ＭＳ 明朝"/>
          <w:bCs/>
        </w:rPr>
      </w:pPr>
      <w:r w:rsidRPr="002B4CEC">
        <w:rPr>
          <w:rFonts w:ascii="ＭＳ 明朝" w:hAnsi="ＭＳ 明朝" w:hint="eastAsia"/>
          <w:bCs/>
        </w:rPr>
        <w:t>(１)</w:t>
      </w:r>
      <w:r w:rsidR="00414A53">
        <w:rPr>
          <w:rFonts w:ascii="ＭＳ 明朝" w:hAnsi="ＭＳ 明朝" w:hint="eastAsia"/>
          <w:bCs/>
        </w:rPr>
        <w:t xml:space="preserve">　小野家文書、</w:t>
      </w:r>
      <w:r w:rsidRPr="002B4CEC">
        <w:rPr>
          <w:rFonts w:ascii="ＭＳ 明朝" w:hAnsi="ＭＳ 明朝" w:hint="eastAsia"/>
          <w:bCs/>
        </w:rPr>
        <w:t>上吾川宮内家文書、久門家文書、松本家文書、三並家文書</w:t>
      </w:r>
    </w:p>
    <w:p w:rsidR="00592165" w:rsidRPr="002B4CEC" w:rsidRDefault="00592165" w:rsidP="00CF5B87">
      <w:pPr>
        <w:ind w:leftChars="100" w:left="630" w:hangingChars="200" w:hanging="420"/>
        <w:rPr>
          <w:rFonts w:ascii="ＭＳ 明朝" w:hAnsi="ＭＳ 明朝"/>
          <w:bCs/>
        </w:rPr>
      </w:pPr>
      <w:r w:rsidRPr="002B4CEC">
        <w:rPr>
          <w:rFonts w:ascii="ＭＳ 明朝" w:hAnsi="ＭＳ 明朝" w:hint="eastAsia"/>
          <w:bCs/>
        </w:rPr>
        <w:t>(２)  池田屋（清水谷家）文書、内山家文書、奥平文書、越智家文書、梶原家文書、長屋家文書、西原佐喜市氏旧蔵文書、宮内家文書、三輪田文書</w:t>
      </w:r>
    </w:p>
    <w:p w:rsidR="00592165" w:rsidRPr="002B4CEC" w:rsidRDefault="00592165" w:rsidP="00592165">
      <w:pPr>
        <w:ind w:leftChars="100" w:left="420" w:hangingChars="100" w:hanging="210"/>
        <w:rPr>
          <w:rFonts w:ascii="ＭＳ 明朝" w:hAnsi="ＭＳ 明朝"/>
          <w:bCs/>
        </w:rPr>
      </w:pPr>
      <w:r w:rsidRPr="002B4CEC">
        <w:rPr>
          <w:rFonts w:ascii="ＭＳ 明朝" w:hAnsi="ＭＳ 明朝" w:hint="eastAsia"/>
          <w:bCs/>
        </w:rPr>
        <w:t>(３)　愛媛県行政資料（藩政期・明治期）、伊予八藩土地関係史料</w:t>
      </w:r>
    </w:p>
    <w:p w:rsidR="00592165" w:rsidRPr="002B4CEC" w:rsidRDefault="00592165" w:rsidP="00592165">
      <w:pPr>
        <w:ind w:leftChars="100" w:left="420" w:hangingChars="100" w:hanging="210"/>
        <w:rPr>
          <w:rFonts w:ascii="ＭＳ 明朝" w:hAnsi="ＭＳ 明朝"/>
          <w:bCs/>
        </w:rPr>
      </w:pPr>
      <w:r w:rsidRPr="002B4CEC">
        <w:rPr>
          <w:rFonts w:ascii="ＭＳ 明朝" w:hAnsi="ＭＳ 明朝" w:hint="eastAsia"/>
          <w:bCs/>
        </w:rPr>
        <w:t>(４)　真鍋</w:t>
      </w:r>
      <w:r w:rsidR="002D60EE" w:rsidRPr="002B4CEC">
        <w:rPr>
          <w:rFonts w:ascii="ＭＳ 明朝" w:hAnsi="ＭＳ 明朝" w:hint="eastAsia"/>
          <w:bCs/>
        </w:rPr>
        <w:t>博</w:t>
      </w:r>
      <w:r w:rsidRPr="002B4CEC">
        <w:rPr>
          <w:rFonts w:ascii="ＭＳ 明朝" w:hAnsi="ＭＳ 明朝" w:hint="eastAsia"/>
          <w:bCs/>
        </w:rPr>
        <w:t>コレクション</w:t>
      </w:r>
    </w:p>
    <w:p w:rsidR="00592165" w:rsidRPr="002B4CEC" w:rsidRDefault="00592165" w:rsidP="00592165">
      <w:pPr>
        <w:ind w:leftChars="100" w:left="420" w:hangingChars="100" w:hanging="210"/>
        <w:rPr>
          <w:rFonts w:ascii="ＭＳ 明朝" w:hAnsi="ＭＳ 明朝"/>
          <w:bCs/>
        </w:rPr>
      </w:pPr>
      <w:r w:rsidRPr="002B4CEC">
        <w:rPr>
          <w:rFonts w:ascii="ＭＳ 明朝" w:hAnsi="ＭＳ 明朝" w:hint="eastAsia"/>
          <w:bCs/>
        </w:rPr>
        <w:t>(５)　明治以前の古文書・古記録・古地図</w:t>
      </w:r>
    </w:p>
    <w:p w:rsidR="00592165" w:rsidRPr="002B4CEC" w:rsidRDefault="00592165" w:rsidP="00592165">
      <w:pPr>
        <w:ind w:firstLineChars="100" w:firstLine="210"/>
        <w:rPr>
          <w:rFonts w:ascii="ＭＳ 明朝" w:hAnsi="ＭＳ 明朝"/>
          <w:bCs/>
        </w:rPr>
      </w:pPr>
      <w:r w:rsidRPr="002B4CEC">
        <w:rPr>
          <w:rFonts w:ascii="ＭＳ 明朝" w:hAnsi="ＭＳ 明朝" w:hint="eastAsia"/>
          <w:bCs/>
        </w:rPr>
        <w:t>(６)　刊行後３０年以上経過した新聞</w:t>
      </w:r>
    </w:p>
    <w:p w:rsidR="00592165" w:rsidRPr="002B4CEC" w:rsidRDefault="00592165" w:rsidP="00592165">
      <w:pPr>
        <w:ind w:leftChars="100" w:left="420" w:hangingChars="100" w:hanging="210"/>
        <w:rPr>
          <w:rFonts w:ascii="ＭＳ 明朝" w:hAnsi="ＭＳ 明朝"/>
          <w:bCs/>
        </w:rPr>
      </w:pPr>
      <w:r w:rsidRPr="002B4CEC">
        <w:rPr>
          <w:rFonts w:ascii="ＭＳ 明朝" w:hAnsi="ＭＳ 明朝" w:hint="eastAsia"/>
          <w:bCs/>
        </w:rPr>
        <w:t>(７)　その他、館長が特に指定したもの</w:t>
      </w:r>
    </w:p>
    <w:p w:rsidR="00592165" w:rsidRPr="002B4CEC" w:rsidRDefault="00592165" w:rsidP="00592165">
      <w:pPr>
        <w:ind w:left="420" w:hangingChars="200" w:hanging="420"/>
        <w:rPr>
          <w:bCs/>
        </w:rPr>
      </w:pPr>
      <w:r w:rsidRPr="002B4CEC">
        <w:rPr>
          <w:rFonts w:hint="eastAsia"/>
        </w:rPr>
        <w:t>（保管場所）</w:t>
      </w:r>
    </w:p>
    <w:p w:rsidR="00592165" w:rsidRPr="002B4CEC" w:rsidRDefault="00592165" w:rsidP="00C61B81">
      <w:pPr>
        <w:ind w:left="420" w:hangingChars="200" w:hanging="420"/>
        <w:rPr>
          <w:bCs/>
        </w:rPr>
      </w:pPr>
      <w:r w:rsidRPr="002B4CEC">
        <w:rPr>
          <w:rFonts w:hint="eastAsia"/>
          <w:bCs/>
        </w:rPr>
        <w:t>第３条　その資料の特性に応じた方法により、適した場所に保管する。</w:t>
      </w:r>
    </w:p>
    <w:p w:rsidR="00592165" w:rsidRPr="002B4CEC" w:rsidRDefault="00592165" w:rsidP="00592165">
      <w:pPr>
        <w:rPr>
          <w:bCs/>
        </w:rPr>
      </w:pPr>
      <w:r w:rsidRPr="002B4CEC">
        <w:rPr>
          <w:rFonts w:hint="eastAsia"/>
        </w:rPr>
        <w:t>（閲覧）</w:t>
      </w:r>
    </w:p>
    <w:p w:rsidR="00592165" w:rsidRPr="002B4CEC" w:rsidRDefault="00592165" w:rsidP="00592165">
      <w:pPr>
        <w:ind w:left="210" w:hangingChars="100" w:hanging="210"/>
        <w:rPr>
          <w:rFonts w:ascii="ＭＳ 明朝" w:hAnsi="ＭＳ 明朝"/>
          <w:bCs/>
        </w:rPr>
      </w:pPr>
      <w:r w:rsidRPr="002B4CEC">
        <w:rPr>
          <w:rFonts w:ascii="ＭＳ 明朝" w:hAnsi="ＭＳ 明朝" w:hint="eastAsia"/>
          <w:bCs/>
        </w:rPr>
        <w:t>第４条　特別取扱資料の閲覧を希望する利用者は、「特別取扱資料閲覧申込書」（様式第１号）を提出しなければならない。</w:t>
      </w:r>
    </w:p>
    <w:p w:rsidR="00592165" w:rsidRPr="002B4CEC" w:rsidRDefault="00592165" w:rsidP="00592165">
      <w:pPr>
        <w:ind w:left="210" w:hangingChars="100" w:hanging="210"/>
        <w:rPr>
          <w:rFonts w:ascii="ＭＳ 明朝" w:hAnsi="ＭＳ 明朝"/>
          <w:bCs/>
        </w:rPr>
      </w:pPr>
      <w:r w:rsidRPr="002B4CEC">
        <w:rPr>
          <w:rFonts w:ascii="ＭＳ 明朝" w:hAnsi="ＭＳ 明朝" w:hint="eastAsia"/>
          <w:bCs/>
        </w:rPr>
        <w:t>２　前項に指定する手続きを経た利用者は、閲覧に際して職員の指示に従い、指定された場所で閲覧するものとする。</w:t>
      </w:r>
    </w:p>
    <w:p w:rsidR="00592165" w:rsidRPr="002B4CEC" w:rsidRDefault="00592165" w:rsidP="00592165">
      <w:pPr>
        <w:ind w:left="210" w:hangingChars="100" w:hanging="210"/>
        <w:rPr>
          <w:rFonts w:ascii="ＭＳ 明朝" w:hAnsi="ＭＳ 明朝"/>
          <w:bCs/>
        </w:rPr>
      </w:pPr>
      <w:r w:rsidRPr="002B4CEC">
        <w:rPr>
          <w:rFonts w:ascii="ＭＳ 明朝" w:hAnsi="ＭＳ 明朝" w:hint="eastAsia"/>
          <w:bCs/>
        </w:rPr>
        <w:t>３　複製物があるものは複製物を優先して閲覧させるものとする。</w:t>
      </w:r>
    </w:p>
    <w:p w:rsidR="00592165" w:rsidRPr="002B4CEC" w:rsidRDefault="00592165" w:rsidP="00592165">
      <w:pPr>
        <w:ind w:left="210" w:hangingChars="100" w:hanging="210"/>
        <w:rPr>
          <w:bCs/>
        </w:rPr>
      </w:pPr>
      <w:r w:rsidRPr="002B4CEC">
        <w:rPr>
          <w:rFonts w:ascii="ＭＳ 明朝" w:hAnsi="ＭＳ 明朝" w:hint="eastAsia"/>
          <w:bCs/>
        </w:rPr>
        <w:t>４　劣化損傷が著しく進んだ特別取扱資料は、その程度に応じ、できる限り範囲を限定して閲覧を制限する等の措置を取る。</w:t>
      </w:r>
    </w:p>
    <w:p w:rsidR="00592165" w:rsidRPr="002B4CEC" w:rsidRDefault="00592165" w:rsidP="00592165">
      <w:pPr>
        <w:rPr>
          <w:bCs/>
        </w:rPr>
      </w:pPr>
      <w:r w:rsidRPr="002B4CEC">
        <w:rPr>
          <w:rFonts w:hint="eastAsia"/>
        </w:rPr>
        <w:t>（複写）</w:t>
      </w:r>
    </w:p>
    <w:p w:rsidR="00592165" w:rsidRPr="002B4CEC" w:rsidRDefault="00592165" w:rsidP="00592165">
      <w:pPr>
        <w:ind w:left="210" w:hangingChars="100" w:hanging="210"/>
        <w:rPr>
          <w:bCs/>
        </w:rPr>
      </w:pPr>
      <w:r w:rsidRPr="002B4CEC">
        <w:rPr>
          <w:rFonts w:hint="eastAsia"/>
          <w:bCs/>
        </w:rPr>
        <w:t>第５条　特別取扱資料は「愛媛県立図書館図書資料複製要領」第４条第１項に基づき複写は認めないものとする。ただし、愛媛県立図書館が利用に供するための複製物を作成するために行う複写はこの限りではない。</w:t>
      </w:r>
    </w:p>
    <w:p w:rsidR="00592165" w:rsidRPr="002B4CEC" w:rsidRDefault="00592165" w:rsidP="00592165">
      <w:pPr>
        <w:ind w:left="210" w:hangingChars="100" w:hanging="210"/>
        <w:rPr>
          <w:bCs/>
        </w:rPr>
      </w:pPr>
      <w:r w:rsidRPr="002B4CEC">
        <w:rPr>
          <w:rFonts w:hint="eastAsia"/>
          <w:bCs/>
        </w:rPr>
        <w:t>２　カメラ等の持込み複製機器による写真撮影を希望する利用者は、「愛媛県立図書館図書資料複製要領」第</w:t>
      </w:r>
      <w:r w:rsidRPr="002B4CEC">
        <w:rPr>
          <w:rFonts w:hint="eastAsia"/>
          <w:bCs/>
        </w:rPr>
        <w:t>11</w:t>
      </w:r>
      <w:r w:rsidRPr="002B4CEC">
        <w:rPr>
          <w:rFonts w:hint="eastAsia"/>
          <w:bCs/>
        </w:rPr>
        <w:t>条第２項に定める「資料複製申込書」（様式第４号）を提出し、館長の許可を受けなければならない。許可を受けた利用者は指定された場所で写真撮影をするものとする。</w:t>
      </w:r>
    </w:p>
    <w:p w:rsidR="00592165" w:rsidRPr="002B4CEC" w:rsidRDefault="00592165" w:rsidP="00592165">
      <w:pPr>
        <w:ind w:left="210" w:hangingChars="100" w:hanging="210"/>
        <w:rPr>
          <w:bCs/>
        </w:rPr>
      </w:pPr>
      <w:r w:rsidRPr="002B4CEC">
        <w:rPr>
          <w:rFonts w:hint="eastAsia"/>
          <w:bCs/>
        </w:rPr>
        <w:lastRenderedPageBreak/>
        <w:t>３　特別取扱資料のマイクロフィルム化又はマイクロフィルム資料の複製等を希望する利用者は「愛媛県立図書館図書資料複製要領」第</w:t>
      </w:r>
      <w:r w:rsidRPr="002B4CEC">
        <w:rPr>
          <w:rFonts w:hint="eastAsia"/>
          <w:bCs/>
        </w:rPr>
        <w:t>11</w:t>
      </w:r>
      <w:r w:rsidRPr="002B4CEC">
        <w:rPr>
          <w:rFonts w:hint="eastAsia"/>
          <w:bCs/>
        </w:rPr>
        <w:t>条第２項に定める「資料複製申込書」（様式第４号）を提出し、館長の許可を受けなければならない。なお、マイクロフィルム化をしたときは、マイクロフィルムを当館に１部寄贈するものとする。</w:t>
      </w:r>
    </w:p>
    <w:p w:rsidR="00592165" w:rsidRPr="002B4CEC" w:rsidRDefault="00592165" w:rsidP="00592165">
      <w:pPr>
        <w:ind w:left="210" w:hangingChars="100" w:hanging="210"/>
        <w:rPr>
          <w:bCs/>
        </w:rPr>
      </w:pPr>
      <w:r w:rsidRPr="002B4CEC">
        <w:rPr>
          <w:rFonts w:hint="eastAsia"/>
          <w:bCs/>
        </w:rPr>
        <w:t>４　特別取扱資料の電子化を希望する利用者は「愛媛県立図書館図書資料複製要領」第</w:t>
      </w:r>
      <w:r w:rsidRPr="002B4CEC">
        <w:rPr>
          <w:rFonts w:hint="eastAsia"/>
          <w:bCs/>
        </w:rPr>
        <w:t>11</w:t>
      </w:r>
      <w:r w:rsidRPr="002B4CEC">
        <w:rPr>
          <w:rFonts w:hint="eastAsia"/>
          <w:bCs/>
        </w:rPr>
        <w:t>条第２項に定める「資料複製申込書」（様式第４号）を提出し、館長の許可を受けなければならない。なお、電子化をしたときは、データをＣＤ－ＲＯＭ等で当館に１部寄贈するものとする。</w:t>
      </w:r>
    </w:p>
    <w:p w:rsidR="00592165" w:rsidRPr="002B4CEC" w:rsidRDefault="00592165" w:rsidP="00592165">
      <w:pPr>
        <w:ind w:left="210" w:hangingChars="100" w:hanging="210"/>
        <w:rPr>
          <w:bCs/>
        </w:rPr>
      </w:pPr>
      <w:r w:rsidRPr="002B4CEC">
        <w:rPr>
          <w:rFonts w:hint="eastAsia"/>
          <w:bCs/>
        </w:rPr>
        <w:t>５　複写したものの著作権上の責任は、全て利用者が負う。</w:t>
      </w:r>
    </w:p>
    <w:p w:rsidR="00592165" w:rsidRPr="002B4CEC" w:rsidRDefault="00592165" w:rsidP="00592165">
      <w:pPr>
        <w:ind w:left="210" w:hangingChars="100" w:hanging="210"/>
        <w:rPr>
          <w:bCs/>
        </w:rPr>
      </w:pPr>
      <w:r w:rsidRPr="002B4CEC">
        <w:rPr>
          <w:rFonts w:hint="eastAsia"/>
        </w:rPr>
        <w:t>（掲載、出版、放映）</w:t>
      </w:r>
    </w:p>
    <w:p w:rsidR="00592165" w:rsidRPr="002B4CEC" w:rsidRDefault="00592165" w:rsidP="00592165">
      <w:pPr>
        <w:ind w:left="210" w:hangingChars="100" w:hanging="210"/>
        <w:rPr>
          <w:bCs/>
        </w:rPr>
      </w:pPr>
      <w:r w:rsidRPr="002B4CEC">
        <w:rPr>
          <w:rFonts w:hint="eastAsia"/>
          <w:bCs/>
        </w:rPr>
        <w:t>第６条　特別取扱資料を複写したものを出版物・放送等に使用するとき（翻刻したものの掲載・出版、インターネットのホームページへの掲載を含む。）は、事前に「愛媛県立図書館図書資料複製要領」第９条第１項に定める「</w:t>
      </w:r>
      <w:r w:rsidR="00912DFA" w:rsidRPr="002B4CEC">
        <w:rPr>
          <w:rFonts w:hint="eastAsia"/>
          <w:bCs/>
        </w:rPr>
        <w:t>図書</w:t>
      </w:r>
      <w:r w:rsidRPr="002B4CEC">
        <w:rPr>
          <w:rFonts w:hint="eastAsia"/>
          <w:bCs/>
        </w:rPr>
        <w:t>資料掲載等許可申請書」（様式第２号）を館長に提出しなければならない。</w:t>
      </w:r>
    </w:p>
    <w:p w:rsidR="00592165" w:rsidRPr="002B4CEC" w:rsidRDefault="00592165" w:rsidP="00592165">
      <w:pPr>
        <w:ind w:left="210" w:hangingChars="100" w:hanging="210"/>
        <w:rPr>
          <w:bCs/>
        </w:rPr>
      </w:pPr>
      <w:r w:rsidRPr="002B4CEC">
        <w:rPr>
          <w:rFonts w:hint="eastAsia"/>
          <w:bCs/>
        </w:rPr>
        <w:t>２　前項の承認に際しては、館長は、「愛媛県立図書館図書資料複製要領」第９条第２項に定める「</w:t>
      </w:r>
      <w:r w:rsidR="00912DFA" w:rsidRPr="002B4CEC">
        <w:rPr>
          <w:rFonts w:hint="eastAsia"/>
          <w:bCs/>
        </w:rPr>
        <w:t>図書</w:t>
      </w:r>
      <w:r w:rsidRPr="002B4CEC">
        <w:rPr>
          <w:rFonts w:hint="eastAsia"/>
          <w:bCs/>
        </w:rPr>
        <w:t>資料掲載等許可書」（様式第３号）を申請者に交付するものとする。</w:t>
      </w:r>
    </w:p>
    <w:p w:rsidR="00592165" w:rsidRPr="002B4CEC" w:rsidRDefault="00592165" w:rsidP="00592165">
      <w:pPr>
        <w:ind w:left="210" w:hangingChars="100" w:hanging="210"/>
        <w:rPr>
          <w:bCs/>
        </w:rPr>
      </w:pPr>
      <w:r w:rsidRPr="002B4CEC">
        <w:rPr>
          <w:rFonts w:hint="eastAsia"/>
          <w:bCs/>
        </w:rPr>
        <w:t>３　出版物（掲載を含む。）として発行するときは、原則として２部寄贈するものとする。</w:t>
      </w:r>
    </w:p>
    <w:p w:rsidR="00592165" w:rsidRPr="002B4CEC" w:rsidRDefault="00592165" w:rsidP="00592165">
      <w:r w:rsidRPr="002B4CEC">
        <w:rPr>
          <w:rFonts w:hint="eastAsia"/>
        </w:rPr>
        <w:t>（貸出）</w:t>
      </w:r>
    </w:p>
    <w:p w:rsidR="00592165" w:rsidRPr="002B4CEC" w:rsidRDefault="00592165" w:rsidP="00592165">
      <w:pPr>
        <w:ind w:left="210" w:hangingChars="100" w:hanging="210"/>
        <w:rPr>
          <w:bCs/>
        </w:rPr>
      </w:pPr>
      <w:r w:rsidRPr="002B4CEC">
        <w:rPr>
          <w:rFonts w:hint="eastAsia"/>
          <w:bCs/>
        </w:rPr>
        <w:t>第７条　特別取扱資料は、「愛媛県立図書館図書資料利用要綱」第３章に定める図書資料の館外利用及び第７章に定める他館との相互利用の対象にはならない。</w:t>
      </w:r>
    </w:p>
    <w:p w:rsidR="00592165" w:rsidRPr="002B4CEC" w:rsidRDefault="00592165" w:rsidP="00592165">
      <w:pPr>
        <w:ind w:left="210" w:hangingChars="100" w:hanging="210"/>
        <w:rPr>
          <w:bCs/>
        </w:rPr>
      </w:pPr>
      <w:r w:rsidRPr="002B4CEC">
        <w:rPr>
          <w:rFonts w:hint="eastAsia"/>
          <w:bCs/>
        </w:rPr>
        <w:t>２　前項の規定に関わらず、館長が特に認めた場合はこの限りではない。この場合の貸出手続きは「愛媛県立図書館図書資料利用要綱」第</w:t>
      </w:r>
      <w:r w:rsidRPr="002B4CEC">
        <w:rPr>
          <w:rFonts w:hint="eastAsia"/>
          <w:bCs/>
        </w:rPr>
        <w:t>14</w:t>
      </w:r>
      <w:r w:rsidRPr="002B4CEC">
        <w:rPr>
          <w:rFonts w:hint="eastAsia"/>
          <w:bCs/>
        </w:rPr>
        <w:t>条に定める特別借出しの方法を適用する。</w:t>
      </w:r>
    </w:p>
    <w:p w:rsidR="00592165" w:rsidRPr="002B4CEC" w:rsidRDefault="00592165" w:rsidP="00592165">
      <w:pPr>
        <w:ind w:left="210" w:hangingChars="100" w:hanging="210"/>
      </w:pPr>
      <w:r w:rsidRPr="002B4CEC">
        <w:rPr>
          <w:rFonts w:hint="eastAsia"/>
        </w:rPr>
        <w:t>（意識化）</w:t>
      </w:r>
    </w:p>
    <w:p w:rsidR="00592165" w:rsidRPr="002B4CEC" w:rsidRDefault="00592165" w:rsidP="00592165">
      <w:pPr>
        <w:ind w:left="210" w:hangingChars="100" w:hanging="210"/>
        <w:rPr>
          <w:rFonts w:ascii="ＭＳ 明朝" w:hAnsi="ＭＳ 明朝"/>
          <w:bCs/>
        </w:rPr>
      </w:pPr>
      <w:r w:rsidRPr="002B4CEC">
        <w:rPr>
          <w:rFonts w:ascii="ＭＳ 明朝" w:hAnsi="ＭＳ 明朝" w:hint="eastAsia"/>
          <w:bCs/>
        </w:rPr>
        <w:t>第８条　職員の資料保存に対する意識を喚起し、利用者等の意識を喚起するように努める。</w:t>
      </w:r>
    </w:p>
    <w:p w:rsidR="00592165" w:rsidRPr="002B4CEC" w:rsidRDefault="00592165" w:rsidP="00592165">
      <w:pPr>
        <w:ind w:left="210" w:hangingChars="100" w:hanging="210"/>
        <w:rPr>
          <w:rFonts w:ascii="ＭＳ 明朝" w:hAnsi="ＭＳ 明朝"/>
          <w:bCs/>
        </w:rPr>
      </w:pPr>
      <w:r w:rsidRPr="002B4CEC">
        <w:rPr>
          <w:rFonts w:ascii="ＭＳ 明朝" w:hAnsi="ＭＳ 明朝" w:hint="eastAsia"/>
          <w:bCs/>
        </w:rPr>
        <w:t>２　特別取扱資料の取扱に関する手引書を作成し、職員の資料保存に対する意識を喚起し、必要な知識を共有する。</w:t>
      </w:r>
    </w:p>
    <w:p w:rsidR="00592165" w:rsidRPr="002B4CEC" w:rsidRDefault="00592165" w:rsidP="00592165">
      <w:pPr>
        <w:ind w:left="210" w:hangingChars="100" w:hanging="210"/>
        <w:rPr>
          <w:rFonts w:ascii="ＭＳ 明朝" w:hAnsi="ＭＳ 明朝"/>
          <w:bCs/>
        </w:rPr>
      </w:pPr>
      <w:r w:rsidRPr="002B4CEC">
        <w:rPr>
          <w:rFonts w:ascii="ＭＳ 明朝" w:hAnsi="ＭＳ 明朝" w:hint="eastAsia"/>
          <w:bCs/>
        </w:rPr>
        <w:t>３　利用者に対しては、館内掲示や図書館報、ホームページ等により、資料保存に対する意識を喚起する。</w:t>
      </w:r>
    </w:p>
    <w:p w:rsidR="00592165" w:rsidRPr="002B4CEC" w:rsidRDefault="00592165" w:rsidP="00592165">
      <w:pPr>
        <w:ind w:left="210" w:hangingChars="100" w:hanging="210"/>
        <w:rPr>
          <w:rFonts w:ascii="ＭＳ 明朝" w:hAnsi="ＭＳ 明朝"/>
        </w:rPr>
      </w:pPr>
      <w:r w:rsidRPr="002B4CEC">
        <w:rPr>
          <w:rFonts w:ascii="ＭＳ 明朝" w:hAnsi="ＭＳ 明朝" w:hint="eastAsia"/>
        </w:rPr>
        <w:t>（その他）</w:t>
      </w:r>
    </w:p>
    <w:p w:rsidR="00592165" w:rsidRPr="002B4CEC" w:rsidRDefault="00592165" w:rsidP="00592165">
      <w:pPr>
        <w:ind w:left="210" w:hangingChars="100" w:hanging="210"/>
        <w:rPr>
          <w:bCs/>
        </w:rPr>
      </w:pPr>
      <w:r w:rsidRPr="002B4CEC">
        <w:rPr>
          <w:rFonts w:ascii="ＭＳ 明朝" w:hAnsi="ＭＳ 明朝" w:hint="eastAsia"/>
          <w:bCs/>
        </w:rPr>
        <w:t>第９条　その他必要なことは、館長が特に定めるものとする。</w:t>
      </w:r>
    </w:p>
    <w:p w:rsidR="00592165" w:rsidRPr="002B4CEC" w:rsidRDefault="00592165" w:rsidP="00592165">
      <w:pPr>
        <w:ind w:leftChars="100" w:left="210" w:firstLineChars="200" w:firstLine="420"/>
        <w:rPr>
          <w:rFonts w:ascii="ＭＳ 明朝" w:hAnsi="ＭＳ 明朝"/>
          <w:bCs/>
        </w:rPr>
      </w:pPr>
      <w:r w:rsidRPr="002B4CEC">
        <w:rPr>
          <w:rFonts w:ascii="ＭＳ 明朝" w:hAnsi="ＭＳ 明朝" w:hint="eastAsia"/>
          <w:bCs/>
        </w:rPr>
        <w:t>附　則</w:t>
      </w:r>
    </w:p>
    <w:p w:rsidR="00592165" w:rsidRPr="002B4CEC" w:rsidRDefault="00592165" w:rsidP="00592165">
      <w:pPr>
        <w:ind w:left="210" w:hangingChars="100" w:hanging="210"/>
        <w:rPr>
          <w:bCs/>
        </w:rPr>
      </w:pPr>
      <w:r w:rsidRPr="002B4CEC">
        <w:rPr>
          <w:rFonts w:ascii="ＭＳ 明朝" w:hAnsi="ＭＳ 明朝" w:hint="eastAsia"/>
          <w:bCs/>
        </w:rPr>
        <w:t>１　この要領は、平成21年４月１日から施行する。</w:t>
      </w:r>
    </w:p>
    <w:p w:rsidR="00592165" w:rsidRPr="002B4CEC" w:rsidRDefault="00592165" w:rsidP="00592165">
      <w:pPr>
        <w:ind w:leftChars="100" w:left="210" w:firstLineChars="200" w:firstLine="420"/>
        <w:rPr>
          <w:rFonts w:ascii="ＭＳ 明朝" w:hAnsi="ＭＳ 明朝"/>
          <w:bCs/>
        </w:rPr>
      </w:pPr>
      <w:r w:rsidRPr="002B4CEC">
        <w:rPr>
          <w:rFonts w:ascii="ＭＳ 明朝" w:hAnsi="ＭＳ 明朝" w:hint="eastAsia"/>
          <w:bCs/>
        </w:rPr>
        <w:t>附　則</w:t>
      </w:r>
    </w:p>
    <w:p w:rsidR="00816DD5" w:rsidRDefault="00592165" w:rsidP="00592165">
      <w:pPr>
        <w:rPr>
          <w:rFonts w:ascii="ＭＳ 明朝" w:hAnsi="ＭＳ 明朝"/>
          <w:bCs/>
        </w:rPr>
      </w:pPr>
      <w:r w:rsidRPr="002B4CEC">
        <w:rPr>
          <w:rFonts w:ascii="ＭＳ 明朝" w:hAnsi="ＭＳ 明朝" w:hint="eastAsia"/>
          <w:bCs/>
        </w:rPr>
        <w:t>１　この要領は、平成27年４月１日から施行する。</w:t>
      </w:r>
    </w:p>
    <w:p w:rsidR="00071257" w:rsidRPr="002B4CEC" w:rsidRDefault="00071257" w:rsidP="00071257">
      <w:pPr>
        <w:ind w:leftChars="100" w:left="210" w:firstLineChars="200" w:firstLine="420"/>
        <w:rPr>
          <w:rFonts w:ascii="ＭＳ 明朝" w:hAnsi="ＭＳ 明朝"/>
          <w:bCs/>
        </w:rPr>
      </w:pPr>
      <w:r w:rsidRPr="002B4CEC">
        <w:rPr>
          <w:rFonts w:ascii="ＭＳ 明朝" w:hAnsi="ＭＳ 明朝" w:hint="eastAsia"/>
          <w:bCs/>
        </w:rPr>
        <w:t>附　則</w:t>
      </w:r>
    </w:p>
    <w:p w:rsidR="00071257" w:rsidRPr="00071257" w:rsidRDefault="00071257" w:rsidP="00592165">
      <w:r w:rsidRPr="002B4CEC">
        <w:rPr>
          <w:rFonts w:ascii="ＭＳ 明朝" w:hAnsi="ＭＳ 明朝" w:hint="eastAsia"/>
          <w:bCs/>
        </w:rPr>
        <w:lastRenderedPageBreak/>
        <w:t>１　この要領は、平成</w:t>
      </w:r>
      <w:r>
        <w:rPr>
          <w:rFonts w:ascii="ＭＳ 明朝" w:hAnsi="ＭＳ 明朝" w:hint="eastAsia"/>
          <w:bCs/>
        </w:rPr>
        <w:t>28</w:t>
      </w:r>
      <w:r w:rsidRPr="002B4CEC">
        <w:rPr>
          <w:rFonts w:ascii="ＭＳ 明朝" w:hAnsi="ＭＳ 明朝" w:hint="eastAsia"/>
          <w:bCs/>
        </w:rPr>
        <w:t>年</w:t>
      </w:r>
      <w:r>
        <w:rPr>
          <w:rFonts w:ascii="ＭＳ 明朝" w:hAnsi="ＭＳ 明朝" w:hint="eastAsia"/>
          <w:bCs/>
        </w:rPr>
        <w:t>10</w:t>
      </w:r>
      <w:r w:rsidRPr="002B4CEC">
        <w:rPr>
          <w:rFonts w:ascii="ＭＳ 明朝" w:hAnsi="ＭＳ 明朝" w:hint="eastAsia"/>
          <w:bCs/>
        </w:rPr>
        <w:t>月</w:t>
      </w:r>
      <w:r>
        <w:rPr>
          <w:rFonts w:ascii="ＭＳ 明朝" w:hAnsi="ＭＳ 明朝" w:hint="eastAsia"/>
          <w:bCs/>
        </w:rPr>
        <w:t>30</w:t>
      </w:r>
      <w:r w:rsidRPr="002B4CEC">
        <w:rPr>
          <w:rFonts w:ascii="ＭＳ 明朝" w:hAnsi="ＭＳ 明朝" w:hint="eastAsia"/>
          <w:bCs/>
        </w:rPr>
        <w:t>日から施行する。</w:t>
      </w:r>
    </w:p>
    <w:sectPr w:rsidR="00071257" w:rsidRPr="0007125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165"/>
    <w:rsid w:val="0007025C"/>
    <w:rsid w:val="00071257"/>
    <w:rsid w:val="00244688"/>
    <w:rsid w:val="002B4CEC"/>
    <w:rsid w:val="002D60EE"/>
    <w:rsid w:val="00414A53"/>
    <w:rsid w:val="00592165"/>
    <w:rsid w:val="00816DD5"/>
    <w:rsid w:val="00912DFA"/>
    <w:rsid w:val="00C61B81"/>
    <w:rsid w:val="00CF5B87"/>
    <w:rsid w:val="00D56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90B230D9-D232-4EA4-8865-F433A0A5A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216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288</Words>
  <Characters>1644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愛媛県立図書館</cp:lastModifiedBy>
  <cp:revision>2</cp:revision>
  <dcterms:created xsi:type="dcterms:W3CDTF">2017-01-19T09:00:00Z</dcterms:created>
  <dcterms:modified xsi:type="dcterms:W3CDTF">2017-01-19T09:00:00Z</dcterms:modified>
</cp:coreProperties>
</file>